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78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申请免费参会报名表</w:t>
      </w:r>
    </w:p>
    <w:p>
      <w:pPr>
        <w:spacing w:line="360" w:lineRule="auto"/>
        <w:ind w:right="640" w:firstLine="840" w:firstLineChars="3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单位名称：（单位公章）</w:t>
      </w:r>
    </w:p>
    <w:tbl>
      <w:tblPr>
        <w:tblStyle w:val="3"/>
        <w:tblW w:w="53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750"/>
        <w:gridCol w:w="2094"/>
        <w:gridCol w:w="2094"/>
        <w:gridCol w:w="2094"/>
        <w:gridCol w:w="3121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4619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3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公益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4619" w:type="pct"/>
            <w:gridSpan w:val="6"/>
            <w:vAlign w:val="center"/>
          </w:tcPr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1、总局各中心、各省（区、市）体育局主要领导、分管领导（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2、总局各中心、各省（区、市）体育局经济处、基建处、青少处、群体处、产业处、场馆处、项目活动处及分管体育文化工作的负责人（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3、各级人民政府分管体育、旅游及文化等相关工作的分管领导（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4、各市（地、州）、县（市、区）体育行政管理部门、相关职能处室、协会的主要领导（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5、河南省体育场馆协会副理事长及以上相关领导（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6、符合以上条件的，具有体育设施新、改建项目，赛事开发、产业合作的单位优先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游泳馆水处理、除湿及新风系统（  ）LED照明系统（  ）场馆座椅看台、机械舞台及数艺科技（  ）智慧场馆（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场馆运营模式改革（  ）游泳馆防溺水（  ）完善全民健身公园、路径（  ）全民健身中心（  ）青少年体育俱乐部（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介绍</w:t>
            </w:r>
          </w:p>
        </w:tc>
        <w:tc>
          <w:tcPr>
            <w:tcW w:w="4619" w:type="pct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新、改建项目名称：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19" w:type="pct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级别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9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实名制登记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ind w:firstLine="1320" w:firstLineChars="550"/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sectPr>
          <w:pgSz w:w="16838" w:h="11906" w:orient="landscape"/>
          <w:pgMar w:top="1134" w:right="1440" w:bottom="1134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3718C"/>
    <w:rsid w:val="6613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2021-07-16T04:40:00Z</dcterms:created>
  <dc:creator>张明飞</dc:creator>
  <cp:lastModifiedBy>张明飞</cp:lastModifiedBy>
  <dcterms:modified xsi:type="dcterms:W3CDTF">2021-07-16T04:41:50Z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1885D8963C7F4F609382DA31C91F9FB5</vt:lpwstr>
  </property>
</Properties>
</file>